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43D" w:rsidRDefault="002F043D" w:rsidP="002F043D">
      <w:pPr>
        <w:spacing w:line="480" w:lineRule="auto"/>
        <w:jc w:val="center"/>
        <w:rPr>
          <w:rFonts w:ascii="Times New Roman" w:hAnsi="Times New Roman" w:cs="Times New Roman"/>
          <w:sz w:val="24"/>
          <w:szCs w:val="24"/>
        </w:rPr>
      </w:pPr>
    </w:p>
    <w:p w:rsidR="002F043D" w:rsidRDefault="002F043D" w:rsidP="002F043D">
      <w:pPr>
        <w:spacing w:line="480" w:lineRule="auto"/>
        <w:jc w:val="center"/>
        <w:rPr>
          <w:rFonts w:ascii="Times New Roman" w:hAnsi="Times New Roman" w:cs="Times New Roman"/>
          <w:sz w:val="24"/>
          <w:szCs w:val="24"/>
        </w:rPr>
      </w:pPr>
    </w:p>
    <w:p w:rsidR="002F043D" w:rsidRDefault="002F043D" w:rsidP="002F043D">
      <w:pPr>
        <w:spacing w:line="480" w:lineRule="auto"/>
        <w:jc w:val="center"/>
        <w:rPr>
          <w:rFonts w:ascii="Times New Roman" w:hAnsi="Times New Roman" w:cs="Times New Roman"/>
          <w:sz w:val="24"/>
          <w:szCs w:val="24"/>
        </w:rPr>
      </w:pPr>
    </w:p>
    <w:p w:rsidR="002F043D" w:rsidRDefault="002F043D" w:rsidP="002F043D">
      <w:pPr>
        <w:spacing w:line="480" w:lineRule="auto"/>
        <w:jc w:val="center"/>
        <w:rPr>
          <w:rFonts w:ascii="Times New Roman" w:hAnsi="Times New Roman" w:cs="Times New Roman"/>
          <w:sz w:val="24"/>
          <w:szCs w:val="24"/>
        </w:rPr>
      </w:pPr>
    </w:p>
    <w:p w:rsidR="002F043D" w:rsidRDefault="002F043D" w:rsidP="002F043D">
      <w:pPr>
        <w:spacing w:line="480" w:lineRule="auto"/>
        <w:jc w:val="center"/>
        <w:rPr>
          <w:rFonts w:ascii="Times New Roman" w:hAnsi="Times New Roman" w:cs="Times New Roman"/>
          <w:sz w:val="24"/>
          <w:szCs w:val="24"/>
        </w:rPr>
      </w:pPr>
    </w:p>
    <w:p w:rsidR="002F043D" w:rsidRDefault="002F043D" w:rsidP="002F043D">
      <w:pPr>
        <w:spacing w:line="480" w:lineRule="auto"/>
        <w:jc w:val="center"/>
        <w:rPr>
          <w:rFonts w:ascii="Times New Roman" w:hAnsi="Times New Roman" w:cs="Times New Roman"/>
          <w:sz w:val="24"/>
          <w:szCs w:val="24"/>
        </w:rPr>
      </w:pPr>
    </w:p>
    <w:p w:rsidR="002F043D" w:rsidRDefault="002F043D" w:rsidP="002F043D">
      <w:pPr>
        <w:spacing w:line="480" w:lineRule="auto"/>
        <w:jc w:val="center"/>
        <w:rPr>
          <w:rFonts w:ascii="Times New Roman" w:hAnsi="Times New Roman" w:cs="Times New Roman"/>
          <w:sz w:val="24"/>
          <w:szCs w:val="24"/>
        </w:rPr>
      </w:pPr>
    </w:p>
    <w:p w:rsidR="002F043D" w:rsidRDefault="002F043D" w:rsidP="002F043D">
      <w:pPr>
        <w:spacing w:line="480" w:lineRule="auto"/>
        <w:jc w:val="center"/>
        <w:rPr>
          <w:rFonts w:ascii="Times New Roman" w:hAnsi="Times New Roman" w:cs="Times New Roman"/>
          <w:sz w:val="24"/>
          <w:szCs w:val="24"/>
        </w:rPr>
      </w:pPr>
    </w:p>
    <w:p w:rsidR="000B43D3" w:rsidRPr="002F043D" w:rsidRDefault="000B43D3" w:rsidP="002F043D">
      <w:pPr>
        <w:spacing w:line="480" w:lineRule="auto"/>
        <w:jc w:val="center"/>
        <w:rPr>
          <w:rFonts w:ascii="Times New Roman" w:hAnsi="Times New Roman" w:cs="Times New Roman"/>
          <w:sz w:val="24"/>
          <w:szCs w:val="24"/>
        </w:rPr>
      </w:pPr>
      <w:r w:rsidRPr="002F043D">
        <w:rPr>
          <w:rFonts w:ascii="Times New Roman" w:hAnsi="Times New Roman" w:cs="Times New Roman"/>
          <w:sz w:val="24"/>
          <w:szCs w:val="24"/>
        </w:rPr>
        <w:t>Leininger’s Cultural Care Diversity and Universality Theory.</w:t>
      </w:r>
    </w:p>
    <w:p w:rsidR="000B43D3" w:rsidRPr="002F043D" w:rsidRDefault="000B43D3" w:rsidP="002F043D">
      <w:pPr>
        <w:spacing w:line="480" w:lineRule="auto"/>
        <w:jc w:val="center"/>
        <w:rPr>
          <w:rFonts w:ascii="Times New Roman" w:hAnsi="Times New Roman" w:cs="Times New Roman"/>
          <w:sz w:val="24"/>
          <w:szCs w:val="24"/>
        </w:rPr>
      </w:pPr>
      <w:r w:rsidRPr="002F043D">
        <w:rPr>
          <w:rFonts w:ascii="Times New Roman" w:hAnsi="Times New Roman" w:cs="Times New Roman"/>
          <w:sz w:val="24"/>
          <w:szCs w:val="24"/>
        </w:rPr>
        <w:t>Name.</w:t>
      </w:r>
    </w:p>
    <w:p w:rsidR="000B43D3" w:rsidRPr="002F043D" w:rsidRDefault="000B43D3" w:rsidP="002F043D">
      <w:pPr>
        <w:spacing w:line="480" w:lineRule="auto"/>
        <w:jc w:val="center"/>
        <w:rPr>
          <w:rFonts w:ascii="Times New Roman" w:hAnsi="Times New Roman" w:cs="Times New Roman"/>
          <w:sz w:val="24"/>
          <w:szCs w:val="24"/>
        </w:rPr>
      </w:pPr>
      <w:r w:rsidRPr="002F043D">
        <w:rPr>
          <w:rFonts w:ascii="Times New Roman" w:hAnsi="Times New Roman" w:cs="Times New Roman"/>
          <w:sz w:val="24"/>
          <w:szCs w:val="24"/>
        </w:rPr>
        <w:t>Institution.</w:t>
      </w:r>
    </w:p>
    <w:p w:rsidR="000B43D3" w:rsidRPr="002F043D" w:rsidRDefault="000B43D3" w:rsidP="002F043D">
      <w:pPr>
        <w:spacing w:line="480" w:lineRule="auto"/>
        <w:jc w:val="center"/>
        <w:rPr>
          <w:rFonts w:ascii="Times New Roman" w:hAnsi="Times New Roman" w:cs="Times New Roman"/>
          <w:sz w:val="24"/>
          <w:szCs w:val="24"/>
        </w:rPr>
      </w:pPr>
      <w:r w:rsidRPr="002F043D">
        <w:rPr>
          <w:rFonts w:ascii="Times New Roman" w:hAnsi="Times New Roman" w:cs="Times New Roman"/>
          <w:sz w:val="24"/>
          <w:szCs w:val="24"/>
        </w:rPr>
        <w:t>Date.</w:t>
      </w:r>
    </w:p>
    <w:p w:rsidR="00C85F21" w:rsidRDefault="00C85F21" w:rsidP="002F043D">
      <w:pPr>
        <w:spacing w:line="480" w:lineRule="auto"/>
        <w:jc w:val="center"/>
        <w:rPr>
          <w:rFonts w:ascii="Times New Roman" w:hAnsi="Times New Roman" w:cs="Times New Roman"/>
          <w:sz w:val="24"/>
          <w:szCs w:val="24"/>
        </w:rPr>
      </w:pPr>
    </w:p>
    <w:p w:rsidR="00C85F21" w:rsidRDefault="00C85F21" w:rsidP="002F043D">
      <w:pPr>
        <w:spacing w:line="480" w:lineRule="auto"/>
        <w:jc w:val="center"/>
        <w:rPr>
          <w:rFonts w:ascii="Times New Roman" w:hAnsi="Times New Roman" w:cs="Times New Roman"/>
          <w:sz w:val="24"/>
          <w:szCs w:val="24"/>
        </w:rPr>
      </w:pPr>
    </w:p>
    <w:p w:rsidR="00C85F21" w:rsidRDefault="00C85F21" w:rsidP="002F043D">
      <w:pPr>
        <w:spacing w:line="480" w:lineRule="auto"/>
        <w:jc w:val="center"/>
        <w:rPr>
          <w:rFonts w:ascii="Times New Roman" w:hAnsi="Times New Roman" w:cs="Times New Roman"/>
          <w:sz w:val="24"/>
          <w:szCs w:val="24"/>
        </w:rPr>
      </w:pPr>
    </w:p>
    <w:p w:rsidR="00C85F21" w:rsidRDefault="00C85F21" w:rsidP="002F043D">
      <w:pPr>
        <w:spacing w:line="480" w:lineRule="auto"/>
        <w:jc w:val="center"/>
        <w:rPr>
          <w:rFonts w:ascii="Times New Roman" w:hAnsi="Times New Roman" w:cs="Times New Roman"/>
          <w:sz w:val="24"/>
          <w:szCs w:val="24"/>
        </w:rPr>
      </w:pPr>
    </w:p>
    <w:p w:rsidR="00C85F21" w:rsidRDefault="00C85F21" w:rsidP="002F043D">
      <w:pPr>
        <w:spacing w:line="480" w:lineRule="auto"/>
        <w:jc w:val="center"/>
        <w:rPr>
          <w:rFonts w:ascii="Times New Roman" w:hAnsi="Times New Roman" w:cs="Times New Roman"/>
          <w:sz w:val="24"/>
          <w:szCs w:val="24"/>
        </w:rPr>
      </w:pPr>
    </w:p>
    <w:p w:rsidR="00C85F21" w:rsidRDefault="00C85F21" w:rsidP="002F043D">
      <w:pPr>
        <w:spacing w:line="480" w:lineRule="auto"/>
        <w:jc w:val="center"/>
        <w:rPr>
          <w:rFonts w:ascii="Times New Roman" w:hAnsi="Times New Roman" w:cs="Times New Roman"/>
          <w:sz w:val="24"/>
          <w:szCs w:val="24"/>
        </w:rPr>
      </w:pPr>
    </w:p>
    <w:p w:rsidR="000B43D3" w:rsidRPr="002F043D" w:rsidRDefault="003B7381" w:rsidP="002F04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Leininger’s </w:t>
      </w:r>
      <w:r w:rsidR="000B43D3" w:rsidRPr="002F043D">
        <w:rPr>
          <w:rFonts w:ascii="Times New Roman" w:hAnsi="Times New Roman" w:cs="Times New Roman"/>
          <w:sz w:val="24"/>
          <w:szCs w:val="24"/>
        </w:rPr>
        <w:t>Cultural Care Diversity and Universality Theory.</w:t>
      </w:r>
    </w:p>
    <w:p w:rsidR="000B43D3" w:rsidRPr="002F043D" w:rsidRDefault="000B43D3" w:rsidP="002F043D">
      <w:pPr>
        <w:spacing w:line="480" w:lineRule="auto"/>
        <w:jc w:val="center"/>
        <w:rPr>
          <w:rFonts w:ascii="Times New Roman" w:hAnsi="Times New Roman" w:cs="Times New Roman"/>
          <w:b/>
          <w:sz w:val="24"/>
          <w:szCs w:val="24"/>
        </w:rPr>
      </w:pPr>
      <w:r w:rsidRPr="002F043D">
        <w:rPr>
          <w:rFonts w:ascii="Times New Roman" w:hAnsi="Times New Roman" w:cs="Times New Roman"/>
          <w:b/>
          <w:sz w:val="24"/>
          <w:szCs w:val="24"/>
        </w:rPr>
        <w:t>Introduction.</w:t>
      </w:r>
    </w:p>
    <w:p w:rsidR="000B43D3" w:rsidRPr="002F043D" w:rsidRDefault="000B43D3" w:rsidP="002F043D">
      <w:pPr>
        <w:spacing w:line="480" w:lineRule="auto"/>
        <w:ind w:firstLine="720"/>
        <w:rPr>
          <w:rFonts w:ascii="Times New Roman" w:hAnsi="Times New Roman" w:cs="Times New Roman"/>
          <w:sz w:val="24"/>
          <w:szCs w:val="24"/>
        </w:rPr>
      </w:pPr>
      <w:r w:rsidRPr="002F043D">
        <w:rPr>
          <w:rFonts w:ascii="Times New Roman" w:hAnsi="Times New Roman" w:cs="Times New Roman"/>
          <w:sz w:val="24"/>
          <w:szCs w:val="24"/>
        </w:rPr>
        <w:t>Leininger’s Cultural Care Diversity and Universality Theory entail</w:t>
      </w:r>
      <w:r w:rsidR="003B7381">
        <w:rPr>
          <w:rFonts w:ascii="Times New Roman" w:hAnsi="Times New Roman" w:cs="Times New Roman"/>
          <w:sz w:val="24"/>
          <w:szCs w:val="24"/>
        </w:rPr>
        <w:t>s</w:t>
      </w:r>
      <w:r w:rsidRPr="002F043D">
        <w:rPr>
          <w:rFonts w:ascii="Times New Roman" w:hAnsi="Times New Roman" w:cs="Times New Roman"/>
          <w:sz w:val="24"/>
          <w:szCs w:val="24"/>
        </w:rPr>
        <w:t xml:space="preserve"> the u</w:t>
      </w:r>
      <w:r w:rsidR="002F043D" w:rsidRPr="002F043D">
        <w:rPr>
          <w:rFonts w:ascii="Times New Roman" w:hAnsi="Times New Roman" w:cs="Times New Roman"/>
          <w:sz w:val="24"/>
          <w:szCs w:val="24"/>
        </w:rPr>
        <w:t xml:space="preserve">nderstanding of varied cultures.  She expressed </w:t>
      </w:r>
      <w:r w:rsidRPr="002F043D">
        <w:rPr>
          <w:rFonts w:ascii="Times New Roman" w:hAnsi="Times New Roman" w:cs="Times New Roman"/>
          <w:sz w:val="24"/>
          <w:szCs w:val="24"/>
        </w:rPr>
        <w:t>concern</w:t>
      </w:r>
      <w:r w:rsidR="002F043D" w:rsidRPr="002F043D">
        <w:rPr>
          <w:rFonts w:ascii="Times New Roman" w:hAnsi="Times New Roman" w:cs="Times New Roman"/>
          <w:sz w:val="24"/>
          <w:szCs w:val="24"/>
        </w:rPr>
        <w:t>s to</w:t>
      </w:r>
      <w:r w:rsidRPr="002F043D">
        <w:rPr>
          <w:rFonts w:ascii="Times New Roman" w:hAnsi="Times New Roman" w:cs="Times New Roman"/>
          <w:sz w:val="24"/>
          <w:szCs w:val="24"/>
        </w:rPr>
        <w:t xml:space="preserve"> nursing and health-illness caring practices meaningful as well as efficacious nursing care services. Leininger aimed at acquainting nursing professionals with acute knowledge on how to care for patients based on their cultural values as well as health-illness context (McEwen &amp; Wills, 2017). In her theo</w:t>
      </w:r>
      <w:r w:rsidR="003B7381">
        <w:rPr>
          <w:rFonts w:ascii="Times New Roman" w:hAnsi="Times New Roman" w:cs="Times New Roman"/>
          <w:sz w:val="24"/>
          <w:szCs w:val="24"/>
        </w:rPr>
        <w:t>ry, Leininger gives an emphasis</w:t>
      </w:r>
      <w:r w:rsidRPr="002F043D">
        <w:rPr>
          <w:rFonts w:ascii="Times New Roman" w:hAnsi="Times New Roman" w:cs="Times New Roman"/>
          <w:sz w:val="24"/>
          <w:szCs w:val="24"/>
        </w:rPr>
        <w:t xml:space="preserve"> that the main intent of care is to pose beneficial meaning as well as health outcomes for people of similar or different cultural backgrounds. This study provides a thorough analysis of the Leininger’s Cultural Care Diversity and Universality Theory by covering its </w:t>
      </w:r>
      <w:r w:rsidR="002F043D" w:rsidRPr="002F043D">
        <w:rPr>
          <w:rFonts w:ascii="Times New Roman" w:hAnsi="Times New Roman" w:cs="Times New Roman"/>
          <w:sz w:val="24"/>
          <w:szCs w:val="24"/>
        </w:rPr>
        <w:t>concepts,</w:t>
      </w:r>
      <w:r w:rsidR="003B7381">
        <w:rPr>
          <w:rFonts w:ascii="Times New Roman" w:hAnsi="Times New Roman" w:cs="Times New Roman"/>
          <w:sz w:val="24"/>
          <w:szCs w:val="24"/>
        </w:rPr>
        <w:t xml:space="preserve"> </w:t>
      </w:r>
      <w:r w:rsidR="002F043D" w:rsidRPr="002F043D">
        <w:rPr>
          <w:rFonts w:ascii="Times New Roman" w:hAnsi="Times New Roman" w:cs="Times New Roman"/>
          <w:sz w:val="24"/>
          <w:szCs w:val="24"/>
        </w:rPr>
        <w:t xml:space="preserve">philosophical underpinnings, </w:t>
      </w:r>
      <w:r w:rsidRPr="002F043D">
        <w:rPr>
          <w:rFonts w:ascii="Times New Roman" w:hAnsi="Times New Roman" w:cs="Times New Roman"/>
          <w:sz w:val="24"/>
          <w:szCs w:val="24"/>
        </w:rPr>
        <w:t>background, major assumptions, concepts, and relationships, clinical applications, application to nursing practice, and its application to my nursing practice.</w:t>
      </w:r>
    </w:p>
    <w:p w:rsidR="000B43D3" w:rsidRPr="002F043D" w:rsidRDefault="000B43D3" w:rsidP="002F043D">
      <w:pPr>
        <w:spacing w:line="480" w:lineRule="auto"/>
        <w:jc w:val="center"/>
        <w:rPr>
          <w:rFonts w:ascii="Times New Roman" w:hAnsi="Times New Roman" w:cs="Times New Roman"/>
          <w:b/>
          <w:sz w:val="24"/>
          <w:szCs w:val="24"/>
        </w:rPr>
      </w:pPr>
      <w:r w:rsidRPr="002F043D">
        <w:rPr>
          <w:rFonts w:ascii="Times New Roman" w:hAnsi="Times New Roman" w:cs="Times New Roman"/>
          <w:b/>
          <w:sz w:val="24"/>
          <w:szCs w:val="24"/>
        </w:rPr>
        <w:t>Background</w:t>
      </w:r>
      <w:r w:rsidR="00AF3F89" w:rsidRPr="002F043D">
        <w:rPr>
          <w:rFonts w:ascii="Times New Roman" w:hAnsi="Times New Roman" w:cs="Times New Roman"/>
          <w:b/>
          <w:sz w:val="24"/>
          <w:szCs w:val="24"/>
        </w:rPr>
        <w:t>.</w:t>
      </w:r>
    </w:p>
    <w:p w:rsidR="000B43D3" w:rsidRPr="002F043D" w:rsidRDefault="000B43D3" w:rsidP="002F043D">
      <w:pPr>
        <w:spacing w:line="480" w:lineRule="auto"/>
        <w:ind w:firstLine="720"/>
        <w:rPr>
          <w:rFonts w:ascii="Times New Roman" w:hAnsi="Times New Roman" w:cs="Times New Roman"/>
          <w:sz w:val="24"/>
          <w:szCs w:val="24"/>
        </w:rPr>
      </w:pPr>
      <w:r w:rsidRPr="002F043D">
        <w:rPr>
          <w:rFonts w:ascii="Times New Roman" w:hAnsi="Times New Roman" w:cs="Times New Roman"/>
          <w:sz w:val="24"/>
          <w:szCs w:val="24"/>
        </w:rPr>
        <w:t>Leininger’s Cultural Care Diversity and Universality Theory is characterized by an interesting background. The theory traced its root</w:t>
      </w:r>
      <w:r w:rsidR="003B7381">
        <w:rPr>
          <w:rFonts w:ascii="Times New Roman" w:hAnsi="Times New Roman" w:cs="Times New Roman"/>
          <w:sz w:val="24"/>
          <w:szCs w:val="24"/>
        </w:rPr>
        <w:t>s</w:t>
      </w:r>
      <w:r w:rsidRPr="002F043D">
        <w:rPr>
          <w:rFonts w:ascii="Times New Roman" w:hAnsi="Times New Roman" w:cs="Times New Roman"/>
          <w:sz w:val="24"/>
          <w:szCs w:val="24"/>
        </w:rPr>
        <w:t xml:space="preserve"> from Madeleine Leininger’s professional occupation when she was working as a clinical mental health specialist in a child guidance </w:t>
      </w:r>
      <w:r w:rsidR="002F043D" w:rsidRPr="002F043D">
        <w:rPr>
          <w:rFonts w:ascii="Times New Roman" w:hAnsi="Times New Roman" w:cs="Times New Roman"/>
          <w:sz w:val="24"/>
          <w:szCs w:val="24"/>
        </w:rPr>
        <w:t>center</w:t>
      </w:r>
      <w:r w:rsidRPr="002F043D">
        <w:rPr>
          <w:rFonts w:ascii="Times New Roman" w:hAnsi="Times New Roman" w:cs="Times New Roman"/>
          <w:sz w:val="24"/>
          <w:szCs w:val="24"/>
        </w:rPr>
        <w:t xml:space="preserve"> in the early 1950s (McEwen &amp; Wills, 2017). During this time, she noted that there were ongoing challenges in conjunction with non-caring actions for children. She also noted that knowledge deficiency was an obvious problem since only a little research had been done concerning certain cultures and in health institutions (McFarland &amp; Wehbe-Alamah, 2017). She identified that nurse</w:t>
      </w:r>
      <w:r w:rsidR="003B7381">
        <w:rPr>
          <w:rFonts w:ascii="Times New Roman" w:hAnsi="Times New Roman" w:cs="Times New Roman"/>
          <w:sz w:val="24"/>
          <w:szCs w:val="24"/>
        </w:rPr>
        <w:t>s</w:t>
      </w:r>
      <w:r w:rsidRPr="002F043D">
        <w:rPr>
          <w:rFonts w:ascii="Times New Roman" w:hAnsi="Times New Roman" w:cs="Times New Roman"/>
          <w:sz w:val="24"/>
          <w:szCs w:val="24"/>
        </w:rPr>
        <w:t>, and other healthcare professionals did not embrace the importance of culture in the context of care. In this setting, Leininger defined</w:t>
      </w:r>
      <w:r w:rsidR="003B7381">
        <w:rPr>
          <w:rFonts w:ascii="Times New Roman" w:hAnsi="Times New Roman" w:cs="Times New Roman"/>
          <w:sz w:val="24"/>
          <w:szCs w:val="24"/>
        </w:rPr>
        <w:t xml:space="preserve"> culture and care as the</w:t>
      </w:r>
      <w:r w:rsidRPr="002F043D">
        <w:rPr>
          <w:rFonts w:ascii="Times New Roman" w:hAnsi="Times New Roman" w:cs="Times New Roman"/>
          <w:sz w:val="24"/>
          <w:szCs w:val="24"/>
        </w:rPr>
        <w:t xml:space="preserve"> core missing elements in </w:t>
      </w:r>
      <w:r w:rsidRPr="002F043D">
        <w:rPr>
          <w:rFonts w:ascii="Times New Roman" w:hAnsi="Times New Roman" w:cs="Times New Roman"/>
          <w:sz w:val="24"/>
          <w:szCs w:val="24"/>
        </w:rPr>
        <w:lastRenderedPageBreak/>
        <w:t>all nursing and healthcare services. Leininger theorized that comprehending and responding accordingly to the health needs of patients from varied cultures was a vital aspect that needed thorough research and theoretical explanations to boost the quality of care.</w:t>
      </w:r>
    </w:p>
    <w:p w:rsidR="000B43D3" w:rsidRDefault="000B43D3" w:rsidP="002F043D">
      <w:pPr>
        <w:spacing w:line="480" w:lineRule="auto"/>
        <w:ind w:firstLine="720"/>
        <w:rPr>
          <w:rFonts w:ascii="Times New Roman" w:hAnsi="Times New Roman" w:cs="Times New Roman"/>
          <w:sz w:val="24"/>
          <w:szCs w:val="24"/>
        </w:rPr>
      </w:pPr>
      <w:r w:rsidRPr="002F043D">
        <w:rPr>
          <w:rFonts w:ascii="Times New Roman" w:hAnsi="Times New Roman" w:cs="Times New Roman"/>
          <w:sz w:val="24"/>
          <w:szCs w:val="24"/>
        </w:rPr>
        <w:t>Interestingly, Leininger lacked adequate knowledge to research as well as defend her assertions based on the need for the inculcation of culture in care. As a result, she ventured in advanced nursing education to pursue a PhD in anthropology, and she later pursued a field research study to complement her knowledge. She also pursued additional courses intending to gain understanding in different cultures based on how they could apply in care. She dedicated her efforts to develop a sound theory in nursing care, which should be effectively applied in other health-affiliated fields (McFarland &amp; Wehbe-Alamah, 2017). Based on this concern, Leininger envisioned a new field of trans</w:t>
      </w:r>
      <w:r w:rsidR="003B7381">
        <w:rPr>
          <w:rFonts w:ascii="Times New Roman" w:hAnsi="Times New Roman" w:cs="Times New Roman"/>
          <w:sz w:val="24"/>
          <w:szCs w:val="24"/>
        </w:rPr>
        <w:t>-</w:t>
      </w:r>
      <w:r w:rsidRPr="002F043D">
        <w:rPr>
          <w:rFonts w:ascii="Times New Roman" w:hAnsi="Times New Roman" w:cs="Times New Roman"/>
          <w:sz w:val="24"/>
          <w:szCs w:val="24"/>
        </w:rPr>
        <w:t>cultural nursing as a paramount discipline for study. She believed that the lack of accurate understanding of the important culture in care is the leading cause of poor health outcomes. Leininger, therefore, was fully convinced that a Theory of Culture Care Diversity and Universality would be a new mechanism of meeting patients’ needs (Alligood, 2013). She underscored the need to diversify knowledge on the care, culture, as well as health in the context of nursing as the hatching ground for the new discipline of transcultural nursing. Currently, Leininger’s Cultural Care Diversity and Universality Theory have been embraced as the operational basis for acute knowledge of culture, and hence, its application has been the order of the day in the healthcare settings. The theorist brought to the attention of many that culture and care are highly related; thus, the dominant as well as a central construct within the Theory of Culture Care Diversity and Universality.</w:t>
      </w:r>
    </w:p>
    <w:p w:rsidR="005C5106" w:rsidRPr="002F043D" w:rsidRDefault="005C5106" w:rsidP="002F043D">
      <w:pPr>
        <w:spacing w:line="480" w:lineRule="auto"/>
        <w:ind w:firstLine="720"/>
        <w:rPr>
          <w:rFonts w:ascii="Times New Roman" w:hAnsi="Times New Roman" w:cs="Times New Roman"/>
          <w:sz w:val="24"/>
          <w:szCs w:val="24"/>
        </w:rPr>
      </w:pPr>
    </w:p>
    <w:p w:rsidR="003B7381" w:rsidRDefault="003B7381" w:rsidP="002F043D">
      <w:pPr>
        <w:spacing w:line="480" w:lineRule="auto"/>
        <w:jc w:val="center"/>
        <w:rPr>
          <w:rFonts w:ascii="Times New Roman" w:hAnsi="Times New Roman" w:cs="Times New Roman"/>
          <w:b/>
          <w:sz w:val="24"/>
          <w:szCs w:val="24"/>
        </w:rPr>
      </w:pPr>
    </w:p>
    <w:p w:rsidR="000B43D3" w:rsidRPr="002F043D" w:rsidRDefault="003B7381" w:rsidP="002F043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Philosophical U</w:t>
      </w:r>
      <w:r w:rsidR="000B43D3" w:rsidRPr="002F043D">
        <w:rPr>
          <w:rFonts w:ascii="Times New Roman" w:hAnsi="Times New Roman" w:cs="Times New Roman"/>
          <w:b/>
          <w:sz w:val="24"/>
          <w:szCs w:val="24"/>
        </w:rPr>
        <w:t>nderpinnings</w:t>
      </w:r>
      <w:r w:rsidR="00AF3F89" w:rsidRPr="002F043D">
        <w:rPr>
          <w:rFonts w:ascii="Times New Roman" w:hAnsi="Times New Roman" w:cs="Times New Roman"/>
          <w:b/>
          <w:sz w:val="24"/>
          <w:szCs w:val="24"/>
        </w:rPr>
        <w:t>.</w:t>
      </w:r>
    </w:p>
    <w:p w:rsidR="000B43D3" w:rsidRPr="002F043D" w:rsidRDefault="000B43D3" w:rsidP="002F043D">
      <w:pPr>
        <w:spacing w:line="480" w:lineRule="auto"/>
        <w:ind w:firstLine="720"/>
        <w:rPr>
          <w:rFonts w:ascii="Times New Roman" w:hAnsi="Times New Roman" w:cs="Times New Roman"/>
          <w:sz w:val="24"/>
          <w:szCs w:val="24"/>
        </w:rPr>
      </w:pPr>
      <w:r w:rsidRPr="002F043D">
        <w:rPr>
          <w:rFonts w:ascii="Times New Roman" w:hAnsi="Times New Roman" w:cs="Times New Roman"/>
          <w:sz w:val="24"/>
          <w:szCs w:val="24"/>
        </w:rPr>
        <w:t>Borrowing from the theory background, it is true that the theory developed independently as a result of Leininger’s rational thinking. Arguably, the theory relied on Leininger’s schools of thought to extend towards the root causes of the evident challenges in conjunction with caring actions which were subjected to children and other clients in a hospital setting. Further, the theory was founded in Leininger’s personal philosophy of life, advancement in nursing education, increased professional nursing experiences, and anthropological skills (McEwen &amp; Wills, 2017). The theorist had an extensive intellectual, scholarly interest, inborn insight as well as beliefs and values. All these factors served as the philosophical foundation for the theory. From a spiritual perspective, Leininger valued that there existed a superior being, which is the origin of all creatures. She assimilated this philosophy with the fact that nursing profession is a unique entity which was meant to serve all sections of the world; however, under the extensive influence of social structure, culture, ethnohistory, and settings (McEwen &amp; Wills, 2017). Intellectually, Leininger believed that philosophies of life and humanity were core tenets in developing healthcare-related theories. For that reason, Leininger had an unceasing ambition to develop new nursing practices to address varied cultural needs while providing increasingly therapeutic care (McEwen &amp; Wills, 2017). She embraces her philosophical understanding that culture care theory must be dynamic, diversified, holistic, and it must be based on culture as a means to transform nursing care and traditional medicine. These factors defined the core philosophical basis for their great theory</w:t>
      </w:r>
    </w:p>
    <w:p w:rsidR="005C5106" w:rsidRDefault="005C5106" w:rsidP="002F043D">
      <w:pPr>
        <w:spacing w:line="480" w:lineRule="auto"/>
        <w:jc w:val="center"/>
        <w:rPr>
          <w:rFonts w:ascii="Times New Roman" w:hAnsi="Times New Roman" w:cs="Times New Roman"/>
          <w:b/>
          <w:sz w:val="24"/>
          <w:szCs w:val="24"/>
        </w:rPr>
      </w:pPr>
    </w:p>
    <w:p w:rsidR="005C5106" w:rsidRDefault="005C5106" w:rsidP="003B7381">
      <w:pPr>
        <w:spacing w:line="480" w:lineRule="auto"/>
        <w:rPr>
          <w:rFonts w:ascii="Times New Roman" w:hAnsi="Times New Roman" w:cs="Times New Roman"/>
          <w:b/>
          <w:sz w:val="24"/>
          <w:szCs w:val="24"/>
        </w:rPr>
      </w:pPr>
    </w:p>
    <w:p w:rsidR="000B43D3" w:rsidRPr="002F043D" w:rsidRDefault="000B43D3" w:rsidP="002F043D">
      <w:pPr>
        <w:spacing w:line="480" w:lineRule="auto"/>
        <w:jc w:val="center"/>
        <w:rPr>
          <w:rFonts w:ascii="Times New Roman" w:hAnsi="Times New Roman" w:cs="Times New Roman"/>
          <w:b/>
          <w:sz w:val="24"/>
          <w:szCs w:val="24"/>
        </w:rPr>
      </w:pPr>
      <w:r w:rsidRPr="002F043D">
        <w:rPr>
          <w:rFonts w:ascii="Times New Roman" w:hAnsi="Times New Roman" w:cs="Times New Roman"/>
          <w:b/>
          <w:sz w:val="24"/>
          <w:szCs w:val="24"/>
        </w:rPr>
        <w:lastRenderedPageBreak/>
        <w:t>Major assumptions, concepts, and relationships.</w:t>
      </w:r>
    </w:p>
    <w:p w:rsidR="000B43D3" w:rsidRPr="002F043D" w:rsidRDefault="000B43D3" w:rsidP="002F043D">
      <w:pPr>
        <w:spacing w:line="480" w:lineRule="auto"/>
        <w:jc w:val="center"/>
        <w:rPr>
          <w:rFonts w:ascii="Times New Roman" w:hAnsi="Times New Roman" w:cs="Times New Roman"/>
          <w:i/>
          <w:sz w:val="24"/>
          <w:szCs w:val="24"/>
        </w:rPr>
      </w:pPr>
      <w:r w:rsidRPr="002F043D">
        <w:rPr>
          <w:rFonts w:ascii="Times New Roman" w:hAnsi="Times New Roman" w:cs="Times New Roman"/>
          <w:i/>
          <w:sz w:val="24"/>
          <w:szCs w:val="24"/>
        </w:rPr>
        <w:t>Assumptions</w:t>
      </w:r>
    </w:p>
    <w:p w:rsidR="000B43D3" w:rsidRPr="002F043D" w:rsidRDefault="000B43D3" w:rsidP="002F043D">
      <w:pPr>
        <w:spacing w:line="480" w:lineRule="auto"/>
        <w:ind w:firstLine="720"/>
        <w:rPr>
          <w:rFonts w:ascii="Times New Roman" w:hAnsi="Times New Roman" w:cs="Times New Roman"/>
          <w:sz w:val="24"/>
          <w:szCs w:val="24"/>
        </w:rPr>
      </w:pPr>
      <w:r w:rsidRPr="002F043D">
        <w:rPr>
          <w:rFonts w:ascii="Times New Roman" w:hAnsi="Times New Roman" w:cs="Times New Roman"/>
          <w:sz w:val="24"/>
          <w:szCs w:val="24"/>
        </w:rPr>
        <w:t>Leininger’s major assumptions include the assertion that care is the actual essence of nursing and has dominant and unifying focus. Another assumption is that nursing care is essential for well-being, growth, healing, health, as well as facing death (McEwen &amp; Wills, 2017). Moreover, Leininger assumed that culture care is the broadest holistic means by which nursing professionals can understand, elaborate, interpret as well as predict the impacts of nursing care. Based on her ambition, Leininger asserted that nursing profession is a humanistic, transcultural, as well as a scientific care discipline whose core purpose is to serve human beings globally (McEwen &amp; Wills, 2017). Another assumption is that caring is paramount to curing as well as healing, among other core assumptions.</w:t>
      </w:r>
    </w:p>
    <w:p w:rsidR="000B43D3" w:rsidRPr="002F043D" w:rsidRDefault="000B43D3" w:rsidP="002F043D">
      <w:pPr>
        <w:spacing w:line="480" w:lineRule="auto"/>
        <w:jc w:val="center"/>
        <w:rPr>
          <w:rFonts w:ascii="Times New Roman" w:hAnsi="Times New Roman" w:cs="Times New Roman"/>
          <w:i/>
          <w:sz w:val="24"/>
          <w:szCs w:val="24"/>
        </w:rPr>
      </w:pPr>
      <w:r w:rsidRPr="002F043D">
        <w:rPr>
          <w:rFonts w:ascii="Times New Roman" w:hAnsi="Times New Roman" w:cs="Times New Roman"/>
          <w:i/>
          <w:sz w:val="24"/>
          <w:szCs w:val="24"/>
        </w:rPr>
        <w:t>Concepts</w:t>
      </w:r>
    </w:p>
    <w:p w:rsidR="000B43D3" w:rsidRPr="002F043D" w:rsidRDefault="000B43D3" w:rsidP="002F043D">
      <w:pPr>
        <w:spacing w:line="480" w:lineRule="auto"/>
        <w:ind w:firstLine="720"/>
        <w:rPr>
          <w:rFonts w:ascii="Times New Roman" w:hAnsi="Times New Roman" w:cs="Times New Roman"/>
          <w:sz w:val="24"/>
          <w:szCs w:val="24"/>
        </w:rPr>
      </w:pPr>
      <w:r w:rsidRPr="002F043D">
        <w:rPr>
          <w:rFonts w:ascii="Times New Roman" w:hAnsi="Times New Roman" w:cs="Times New Roman"/>
          <w:sz w:val="24"/>
          <w:szCs w:val="24"/>
        </w:rPr>
        <w:t xml:space="preserve">The theory was based on multiple concepts such as the concept of care, which reflects the real need to improve the human condition of concern. She defined the concept of caring as the actions geared towards providing care (McEwen &amp; Wills, 2017). The concept of culture is perceived </w:t>
      </w:r>
      <w:r w:rsidR="002F043D" w:rsidRPr="002F043D">
        <w:rPr>
          <w:rFonts w:ascii="Times New Roman" w:hAnsi="Times New Roman" w:cs="Times New Roman"/>
          <w:sz w:val="24"/>
          <w:szCs w:val="24"/>
        </w:rPr>
        <w:t>as</w:t>
      </w:r>
      <w:r w:rsidRPr="002F043D">
        <w:rPr>
          <w:rFonts w:ascii="Times New Roman" w:hAnsi="Times New Roman" w:cs="Times New Roman"/>
          <w:sz w:val="24"/>
          <w:szCs w:val="24"/>
        </w:rPr>
        <w:t xml:space="preserve"> the learned, shared, as well as transmitted values to a certain group in an effort to direct their thinking, actions, as well as patterned ways of living. The concept of health is defined as the state of well-being that is culturally defined or valued by the designate culture (McEwen &amp; Wills, 2017). Cultural care accommodation is defined as the most creative nursing actions that aid people in a certain culture to adequately associate with others in healthcare community with an aim to accomplish a common goal of </w:t>
      </w:r>
      <w:r w:rsidR="002F043D" w:rsidRPr="002F043D">
        <w:rPr>
          <w:rFonts w:ascii="Times New Roman" w:hAnsi="Times New Roman" w:cs="Times New Roman"/>
          <w:sz w:val="24"/>
          <w:szCs w:val="24"/>
        </w:rPr>
        <w:t>optimum</w:t>
      </w:r>
      <w:r w:rsidRPr="002F043D">
        <w:rPr>
          <w:rFonts w:ascii="Times New Roman" w:hAnsi="Times New Roman" w:cs="Times New Roman"/>
          <w:sz w:val="24"/>
          <w:szCs w:val="24"/>
        </w:rPr>
        <w:t xml:space="preserve"> health outcome for patients in reflation wins their culture.</w:t>
      </w:r>
    </w:p>
    <w:p w:rsidR="000B43D3" w:rsidRPr="002F043D" w:rsidRDefault="000B43D3" w:rsidP="002F043D">
      <w:pPr>
        <w:spacing w:line="480" w:lineRule="auto"/>
        <w:jc w:val="center"/>
        <w:rPr>
          <w:rFonts w:ascii="Times New Roman" w:hAnsi="Times New Roman" w:cs="Times New Roman"/>
          <w:i/>
          <w:sz w:val="24"/>
          <w:szCs w:val="24"/>
        </w:rPr>
      </w:pPr>
      <w:r w:rsidRPr="002F043D">
        <w:rPr>
          <w:rFonts w:ascii="Times New Roman" w:hAnsi="Times New Roman" w:cs="Times New Roman"/>
          <w:i/>
          <w:sz w:val="24"/>
          <w:szCs w:val="24"/>
        </w:rPr>
        <w:lastRenderedPageBreak/>
        <w:t>Relationship</w:t>
      </w:r>
    </w:p>
    <w:p w:rsidR="000B43D3" w:rsidRPr="002F043D" w:rsidRDefault="000B43D3" w:rsidP="002F043D">
      <w:pPr>
        <w:spacing w:line="480" w:lineRule="auto"/>
        <w:ind w:firstLine="720"/>
        <w:rPr>
          <w:rFonts w:ascii="Times New Roman" w:hAnsi="Times New Roman" w:cs="Times New Roman"/>
          <w:sz w:val="24"/>
          <w:szCs w:val="24"/>
        </w:rPr>
      </w:pPr>
      <w:r w:rsidRPr="002F043D">
        <w:rPr>
          <w:rFonts w:ascii="Times New Roman" w:hAnsi="Times New Roman" w:cs="Times New Roman"/>
          <w:sz w:val="24"/>
          <w:szCs w:val="24"/>
        </w:rPr>
        <w:t>The theory embraces the need for nurse-patient relationship exchange. In this affiliation, the patient is perceived to present his or her healthcare demands, barriers as well as preferences. More importantly, the patient depicts personal characters, previous behaviors, in conjunction with interpersonal influences that suitably challenge their health as well as self-efficacy. On the other hand, the nurse is mandated to rejuvenate the patient by giving the core importance of subscribing to new actions when launching the most effective care plan.</w:t>
      </w:r>
    </w:p>
    <w:p w:rsidR="000B43D3" w:rsidRPr="002F043D" w:rsidRDefault="003B7381" w:rsidP="002F043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Clinical A</w:t>
      </w:r>
      <w:r w:rsidR="000B43D3" w:rsidRPr="002F043D">
        <w:rPr>
          <w:rFonts w:ascii="Times New Roman" w:hAnsi="Times New Roman" w:cs="Times New Roman"/>
          <w:b/>
          <w:sz w:val="24"/>
          <w:szCs w:val="24"/>
        </w:rPr>
        <w:t>pplications.</w:t>
      </w:r>
    </w:p>
    <w:p w:rsidR="000B43D3" w:rsidRPr="002F043D" w:rsidRDefault="000B43D3" w:rsidP="002F043D">
      <w:pPr>
        <w:spacing w:line="480" w:lineRule="auto"/>
        <w:ind w:firstLine="720"/>
        <w:rPr>
          <w:rFonts w:ascii="Times New Roman" w:hAnsi="Times New Roman" w:cs="Times New Roman"/>
          <w:sz w:val="24"/>
          <w:szCs w:val="24"/>
        </w:rPr>
      </w:pPr>
      <w:r w:rsidRPr="002F043D">
        <w:rPr>
          <w:rFonts w:ascii="Times New Roman" w:hAnsi="Times New Roman" w:cs="Times New Roman"/>
          <w:sz w:val="24"/>
          <w:szCs w:val="24"/>
        </w:rPr>
        <w:t>Leininger’s theory is quite applicable in varied fields. To begin with, knowledge from this theory has been applied as a guide for research. The theory has been used in nursing and education practice concerning cultures as well as evident subcultures (Purnell, 2018). In the context of research for examples, prenatal care planners have repeatedly borrowed knowledge for this there as a roadmap for their actions. In regards to education, the theory has been applied to enhance rational thinking for strong decisions (McEwen &amp; Wills, 2017). Further, knowledge from this theory is applicable in nursing to encourage practical transcultural nursing.</w:t>
      </w:r>
    </w:p>
    <w:p w:rsidR="000B43D3" w:rsidRPr="002F043D" w:rsidRDefault="003B7381" w:rsidP="002F043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Application to Nursing P</w:t>
      </w:r>
      <w:r w:rsidR="000B43D3" w:rsidRPr="002F043D">
        <w:rPr>
          <w:rFonts w:ascii="Times New Roman" w:hAnsi="Times New Roman" w:cs="Times New Roman"/>
          <w:b/>
          <w:sz w:val="24"/>
          <w:szCs w:val="24"/>
        </w:rPr>
        <w:t>ractice.</w:t>
      </w:r>
    </w:p>
    <w:p w:rsidR="000B43D3" w:rsidRPr="002F043D" w:rsidRDefault="000B43D3" w:rsidP="002F043D">
      <w:pPr>
        <w:spacing w:line="480" w:lineRule="auto"/>
        <w:ind w:firstLine="720"/>
        <w:rPr>
          <w:rFonts w:ascii="Times New Roman" w:hAnsi="Times New Roman" w:cs="Times New Roman"/>
          <w:sz w:val="24"/>
          <w:szCs w:val="24"/>
        </w:rPr>
      </w:pPr>
      <w:r w:rsidRPr="002F043D">
        <w:rPr>
          <w:rFonts w:ascii="Times New Roman" w:hAnsi="Times New Roman" w:cs="Times New Roman"/>
          <w:sz w:val="24"/>
          <w:szCs w:val="24"/>
        </w:rPr>
        <w:t xml:space="preserve">Leininger’s theory is highly applicable to nursing practice despite the fact that it does not define the certain direction of actions that nurses should take. Rather, it defines a critical path based on how to learn more about the culture of clients in conjunction with the means of providing patients care in affiliation with other cultural aspects. The theory helps caregivers to remain culturally congruent with all what is acceptable in the context of care by the patient. Nurses borrow knowledge from this theory to assimilate effective care with cultural competence. </w:t>
      </w:r>
      <w:r w:rsidRPr="002F043D">
        <w:rPr>
          <w:rFonts w:ascii="Times New Roman" w:hAnsi="Times New Roman" w:cs="Times New Roman"/>
          <w:sz w:val="24"/>
          <w:szCs w:val="24"/>
        </w:rPr>
        <w:lastRenderedPageBreak/>
        <w:t>Also, Leininger’s theory has been applied in nursing practice to test varied aspects of qualitative researches.</w:t>
      </w:r>
    </w:p>
    <w:p w:rsidR="000B43D3" w:rsidRPr="002F043D" w:rsidRDefault="000B43D3" w:rsidP="002F043D">
      <w:pPr>
        <w:spacing w:line="480" w:lineRule="auto"/>
        <w:jc w:val="center"/>
        <w:rPr>
          <w:rFonts w:ascii="Times New Roman" w:hAnsi="Times New Roman" w:cs="Times New Roman"/>
          <w:b/>
          <w:sz w:val="24"/>
          <w:szCs w:val="24"/>
        </w:rPr>
      </w:pPr>
      <w:r w:rsidRPr="002F043D">
        <w:rPr>
          <w:rFonts w:ascii="Times New Roman" w:hAnsi="Times New Roman" w:cs="Times New Roman"/>
          <w:b/>
          <w:sz w:val="24"/>
          <w:szCs w:val="24"/>
        </w:rPr>
        <w:t>Application to my Practice.</w:t>
      </w:r>
    </w:p>
    <w:p w:rsidR="000B43D3" w:rsidRPr="002F043D" w:rsidRDefault="000B43D3" w:rsidP="002F043D">
      <w:pPr>
        <w:spacing w:line="480" w:lineRule="auto"/>
        <w:ind w:firstLine="720"/>
        <w:rPr>
          <w:rFonts w:ascii="Times New Roman" w:hAnsi="Times New Roman" w:cs="Times New Roman"/>
          <w:sz w:val="24"/>
          <w:szCs w:val="24"/>
        </w:rPr>
      </w:pPr>
      <w:r w:rsidRPr="002F043D">
        <w:rPr>
          <w:rFonts w:ascii="Times New Roman" w:hAnsi="Times New Roman" w:cs="Times New Roman"/>
          <w:sz w:val="24"/>
          <w:szCs w:val="24"/>
        </w:rPr>
        <w:t xml:space="preserve"> I have severally relied on Leininger's theory to address the patient’s needs. For examples, Jimmy, a 14-year-old boy, was brought in the Emergency Room accompanied by his mother and grandfather. He was complaining of unending abdominal pains for three days (Purnell, 2018). During diagnosis, I realized that all sensitive </w:t>
      </w:r>
      <w:r w:rsidR="003B7381" w:rsidRPr="002F043D">
        <w:rPr>
          <w:rFonts w:ascii="Times New Roman" w:hAnsi="Times New Roman" w:cs="Times New Roman"/>
          <w:sz w:val="24"/>
          <w:szCs w:val="24"/>
        </w:rPr>
        <w:t>questions</w:t>
      </w:r>
      <w:r w:rsidRPr="002F043D">
        <w:rPr>
          <w:rFonts w:ascii="Times New Roman" w:hAnsi="Times New Roman" w:cs="Times New Roman"/>
          <w:sz w:val="24"/>
          <w:szCs w:val="24"/>
        </w:rPr>
        <w:t xml:space="preserve"> to the mother were redirected to grandfather and that they seemed not ready to express eye contact to any of the nursing professionals. The physician demanded accurate laparotomy; however, the mother seemed not ready to grant consent without grandfather’s approval (McEwen &amp; Wills, 2017). With this encounter, I gained the knowledge the patient belonged to a family whose culture matriarchically surrenders wisdom to the elders, and that failure to maintain eye contact was a critical sign of respect and not suspicion. Such understanding allowed for the material provision of care to the patient.</w:t>
      </w:r>
    </w:p>
    <w:p w:rsidR="000B43D3" w:rsidRPr="002F043D" w:rsidRDefault="000B43D3" w:rsidP="002F043D">
      <w:pPr>
        <w:spacing w:line="480" w:lineRule="auto"/>
        <w:jc w:val="center"/>
        <w:rPr>
          <w:rFonts w:ascii="Times New Roman" w:hAnsi="Times New Roman" w:cs="Times New Roman"/>
          <w:sz w:val="24"/>
          <w:szCs w:val="24"/>
        </w:rPr>
      </w:pPr>
      <w:r w:rsidRPr="002F043D">
        <w:rPr>
          <w:rFonts w:ascii="Times New Roman" w:hAnsi="Times New Roman" w:cs="Times New Roman"/>
          <w:b/>
          <w:sz w:val="24"/>
          <w:szCs w:val="24"/>
        </w:rPr>
        <w:t>Parsimony</w:t>
      </w:r>
      <w:r w:rsidRPr="002F043D">
        <w:rPr>
          <w:rFonts w:ascii="Times New Roman" w:hAnsi="Times New Roman" w:cs="Times New Roman"/>
          <w:sz w:val="24"/>
          <w:szCs w:val="24"/>
        </w:rPr>
        <w:t>.</w:t>
      </w:r>
    </w:p>
    <w:p w:rsidR="000B43D3" w:rsidRPr="002F043D" w:rsidRDefault="000B43D3" w:rsidP="002F043D">
      <w:pPr>
        <w:spacing w:line="480" w:lineRule="auto"/>
        <w:ind w:firstLine="720"/>
        <w:rPr>
          <w:rFonts w:ascii="Times New Roman" w:hAnsi="Times New Roman" w:cs="Times New Roman"/>
          <w:sz w:val="24"/>
          <w:szCs w:val="24"/>
        </w:rPr>
      </w:pPr>
      <w:r w:rsidRPr="002F043D">
        <w:rPr>
          <w:rFonts w:ascii="Times New Roman" w:hAnsi="Times New Roman" w:cs="Times New Roman"/>
          <w:sz w:val="24"/>
          <w:szCs w:val="24"/>
        </w:rPr>
        <w:t>Leininger’s theory is quite parsimonious. The theorist used concepts which are integrated into a means which the theory and its model can be effectively utilized in varied healthcare settings. More importantly, the theory is very applicable, and it is generalizable (Purnell, 2018). It is notable that the theory assumptions, concepts in conjunction with relationships provided are at a level of abstraction. Despite the fact that it uses technical terms, the theory can be suitably understood with the first glance.</w:t>
      </w:r>
    </w:p>
    <w:p w:rsidR="005C5106" w:rsidRDefault="005C5106" w:rsidP="002F043D">
      <w:pPr>
        <w:spacing w:line="480" w:lineRule="auto"/>
        <w:jc w:val="center"/>
        <w:rPr>
          <w:rFonts w:ascii="Times New Roman" w:hAnsi="Times New Roman" w:cs="Times New Roman"/>
          <w:b/>
          <w:sz w:val="24"/>
          <w:szCs w:val="24"/>
        </w:rPr>
      </w:pPr>
    </w:p>
    <w:p w:rsidR="000B43D3" w:rsidRPr="002F043D" w:rsidRDefault="000B43D3" w:rsidP="002F043D">
      <w:pPr>
        <w:spacing w:line="480" w:lineRule="auto"/>
        <w:jc w:val="center"/>
        <w:rPr>
          <w:rFonts w:ascii="Times New Roman" w:hAnsi="Times New Roman" w:cs="Times New Roman"/>
          <w:sz w:val="24"/>
          <w:szCs w:val="24"/>
        </w:rPr>
      </w:pPr>
      <w:r w:rsidRPr="002F043D">
        <w:rPr>
          <w:rFonts w:ascii="Times New Roman" w:hAnsi="Times New Roman" w:cs="Times New Roman"/>
          <w:b/>
          <w:sz w:val="24"/>
          <w:szCs w:val="24"/>
        </w:rPr>
        <w:lastRenderedPageBreak/>
        <w:t>Conclusion</w:t>
      </w:r>
      <w:r w:rsidRPr="002F043D">
        <w:rPr>
          <w:rFonts w:ascii="Times New Roman" w:hAnsi="Times New Roman" w:cs="Times New Roman"/>
          <w:sz w:val="24"/>
          <w:szCs w:val="24"/>
        </w:rPr>
        <w:t>.</w:t>
      </w:r>
    </w:p>
    <w:p w:rsidR="000B43D3" w:rsidRPr="002F043D" w:rsidRDefault="000B43D3" w:rsidP="002F043D">
      <w:pPr>
        <w:spacing w:line="480" w:lineRule="auto"/>
        <w:ind w:firstLine="720"/>
        <w:rPr>
          <w:rFonts w:ascii="Times New Roman" w:hAnsi="Times New Roman" w:cs="Times New Roman"/>
          <w:sz w:val="24"/>
          <w:szCs w:val="24"/>
        </w:rPr>
      </w:pPr>
      <w:r w:rsidRPr="002F043D">
        <w:rPr>
          <w:rFonts w:ascii="Times New Roman" w:hAnsi="Times New Roman" w:cs="Times New Roman"/>
          <w:sz w:val="24"/>
          <w:szCs w:val="24"/>
        </w:rPr>
        <w:t>Leininger’s theory is quite reflective of nursing practices, and hence, its contributions can never be estimated. The theory serves as a basis for holistic patient’s care based on culture (McEwen &amp; Wills, 2017). It enlightens the need to integrate nursing and traditional medicine in care. The theory is very much applicable not only in nursing practices but also in the fields of research and education as well. We should not hesitate to redeem the core benefits of Leininger’s theory.</w:t>
      </w:r>
    </w:p>
    <w:p w:rsidR="005C5106" w:rsidRDefault="005C5106" w:rsidP="002F043D">
      <w:pPr>
        <w:spacing w:line="480" w:lineRule="auto"/>
        <w:jc w:val="center"/>
        <w:rPr>
          <w:rFonts w:ascii="Times New Roman" w:hAnsi="Times New Roman" w:cs="Times New Roman"/>
          <w:sz w:val="24"/>
          <w:szCs w:val="24"/>
        </w:rPr>
      </w:pPr>
    </w:p>
    <w:p w:rsidR="005C5106" w:rsidRDefault="005C5106" w:rsidP="002F043D">
      <w:pPr>
        <w:spacing w:line="480" w:lineRule="auto"/>
        <w:jc w:val="center"/>
        <w:rPr>
          <w:rFonts w:ascii="Times New Roman" w:hAnsi="Times New Roman" w:cs="Times New Roman"/>
          <w:sz w:val="24"/>
          <w:szCs w:val="24"/>
        </w:rPr>
      </w:pPr>
    </w:p>
    <w:p w:rsidR="005C5106" w:rsidRDefault="005C5106" w:rsidP="002F043D">
      <w:pPr>
        <w:spacing w:line="480" w:lineRule="auto"/>
        <w:jc w:val="center"/>
        <w:rPr>
          <w:rFonts w:ascii="Times New Roman" w:hAnsi="Times New Roman" w:cs="Times New Roman"/>
          <w:sz w:val="24"/>
          <w:szCs w:val="24"/>
        </w:rPr>
      </w:pPr>
    </w:p>
    <w:p w:rsidR="005C5106" w:rsidRDefault="005C5106" w:rsidP="002F043D">
      <w:pPr>
        <w:spacing w:line="480" w:lineRule="auto"/>
        <w:jc w:val="center"/>
        <w:rPr>
          <w:rFonts w:ascii="Times New Roman" w:hAnsi="Times New Roman" w:cs="Times New Roman"/>
          <w:sz w:val="24"/>
          <w:szCs w:val="24"/>
        </w:rPr>
      </w:pPr>
    </w:p>
    <w:p w:rsidR="005C5106" w:rsidRDefault="005C5106" w:rsidP="002F043D">
      <w:pPr>
        <w:spacing w:line="480" w:lineRule="auto"/>
        <w:jc w:val="center"/>
        <w:rPr>
          <w:rFonts w:ascii="Times New Roman" w:hAnsi="Times New Roman" w:cs="Times New Roman"/>
          <w:sz w:val="24"/>
          <w:szCs w:val="24"/>
        </w:rPr>
      </w:pPr>
    </w:p>
    <w:p w:rsidR="005C5106" w:rsidRDefault="005C5106" w:rsidP="002F043D">
      <w:pPr>
        <w:spacing w:line="480" w:lineRule="auto"/>
        <w:jc w:val="center"/>
        <w:rPr>
          <w:rFonts w:ascii="Times New Roman" w:hAnsi="Times New Roman" w:cs="Times New Roman"/>
          <w:sz w:val="24"/>
          <w:szCs w:val="24"/>
        </w:rPr>
      </w:pPr>
    </w:p>
    <w:p w:rsidR="005C5106" w:rsidRDefault="005C5106" w:rsidP="002F043D">
      <w:pPr>
        <w:spacing w:line="480" w:lineRule="auto"/>
        <w:jc w:val="center"/>
        <w:rPr>
          <w:rFonts w:ascii="Times New Roman" w:hAnsi="Times New Roman" w:cs="Times New Roman"/>
          <w:sz w:val="24"/>
          <w:szCs w:val="24"/>
        </w:rPr>
      </w:pPr>
    </w:p>
    <w:p w:rsidR="005C5106" w:rsidRDefault="005C5106" w:rsidP="002F043D">
      <w:pPr>
        <w:spacing w:line="480" w:lineRule="auto"/>
        <w:jc w:val="center"/>
        <w:rPr>
          <w:rFonts w:ascii="Times New Roman" w:hAnsi="Times New Roman" w:cs="Times New Roman"/>
          <w:sz w:val="24"/>
          <w:szCs w:val="24"/>
        </w:rPr>
      </w:pPr>
    </w:p>
    <w:p w:rsidR="005C5106" w:rsidRDefault="005C5106" w:rsidP="002F043D">
      <w:pPr>
        <w:spacing w:line="480" w:lineRule="auto"/>
        <w:jc w:val="center"/>
        <w:rPr>
          <w:rFonts w:ascii="Times New Roman" w:hAnsi="Times New Roman" w:cs="Times New Roman"/>
          <w:sz w:val="24"/>
          <w:szCs w:val="24"/>
        </w:rPr>
      </w:pPr>
    </w:p>
    <w:p w:rsidR="005C5106" w:rsidRDefault="005C5106" w:rsidP="002F043D">
      <w:pPr>
        <w:spacing w:line="480" w:lineRule="auto"/>
        <w:jc w:val="center"/>
        <w:rPr>
          <w:rFonts w:ascii="Times New Roman" w:hAnsi="Times New Roman" w:cs="Times New Roman"/>
          <w:sz w:val="24"/>
          <w:szCs w:val="24"/>
        </w:rPr>
      </w:pPr>
    </w:p>
    <w:p w:rsidR="005C5106" w:rsidRDefault="005C5106" w:rsidP="002F043D">
      <w:pPr>
        <w:spacing w:line="480" w:lineRule="auto"/>
        <w:jc w:val="center"/>
        <w:rPr>
          <w:rFonts w:ascii="Times New Roman" w:hAnsi="Times New Roman" w:cs="Times New Roman"/>
          <w:sz w:val="24"/>
          <w:szCs w:val="24"/>
        </w:rPr>
      </w:pPr>
    </w:p>
    <w:p w:rsidR="005C5106" w:rsidRDefault="005C5106" w:rsidP="005C5106">
      <w:pPr>
        <w:spacing w:line="480" w:lineRule="auto"/>
        <w:rPr>
          <w:rFonts w:ascii="Times New Roman" w:hAnsi="Times New Roman" w:cs="Times New Roman"/>
          <w:sz w:val="24"/>
          <w:szCs w:val="24"/>
        </w:rPr>
      </w:pPr>
    </w:p>
    <w:p w:rsidR="000B43D3" w:rsidRPr="002F043D" w:rsidRDefault="000B43D3" w:rsidP="002F043D">
      <w:pPr>
        <w:spacing w:line="480" w:lineRule="auto"/>
        <w:jc w:val="center"/>
        <w:rPr>
          <w:rFonts w:ascii="Times New Roman" w:hAnsi="Times New Roman" w:cs="Times New Roman"/>
          <w:sz w:val="24"/>
          <w:szCs w:val="24"/>
        </w:rPr>
      </w:pPr>
      <w:r w:rsidRPr="002F043D">
        <w:rPr>
          <w:rFonts w:ascii="Times New Roman" w:hAnsi="Times New Roman" w:cs="Times New Roman"/>
          <w:sz w:val="24"/>
          <w:szCs w:val="24"/>
        </w:rPr>
        <w:lastRenderedPageBreak/>
        <w:t>References.</w:t>
      </w:r>
    </w:p>
    <w:p w:rsidR="000B43D3" w:rsidRPr="002F043D" w:rsidRDefault="000B43D3" w:rsidP="002F043D">
      <w:pPr>
        <w:spacing w:line="480" w:lineRule="auto"/>
        <w:ind w:left="720" w:hanging="720"/>
        <w:rPr>
          <w:rFonts w:ascii="Times New Roman" w:hAnsi="Times New Roman" w:cs="Times New Roman"/>
          <w:sz w:val="24"/>
          <w:szCs w:val="24"/>
        </w:rPr>
      </w:pPr>
      <w:r w:rsidRPr="002F043D">
        <w:rPr>
          <w:rFonts w:ascii="Times New Roman" w:hAnsi="Times New Roman" w:cs="Times New Roman"/>
          <w:sz w:val="24"/>
          <w:szCs w:val="24"/>
        </w:rPr>
        <w:t>Alligood, M. R. (2013). Introduction to nursing theory: its history, significance, and analysis. Nursing theorists and their work-e-Book, 1.</w:t>
      </w:r>
    </w:p>
    <w:p w:rsidR="000B43D3" w:rsidRPr="002F043D" w:rsidRDefault="000B43D3" w:rsidP="002F043D">
      <w:pPr>
        <w:spacing w:line="480" w:lineRule="auto"/>
        <w:ind w:left="720" w:hanging="720"/>
        <w:rPr>
          <w:rFonts w:ascii="Times New Roman" w:hAnsi="Times New Roman" w:cs="Times New Roman"/>
          <w:sz w:val="24"/>
          <w:szCs w:val="24"/>
        </w:rPr>
      </w:pPr>
      <w:r w:rsidRPr="002F043D">
        <w:rPr>
          <w:rFonts w:ascii="Times New Roman" w:hAnsi="Times New Roman" w:cs="Times New Roman"/>
          <w:sz w:val="24"/>
          <w:szCs w:val="24"/>
        </w:rPr>
        <w:t>McEwen, M., &amp; Wills, E. M. (2017). Theoretical basis for nursing. Lippincott Williams &amp; Wilkins.</w:t>
      </w:r>
    </w:p>
    <w:p w:rsidR="000B43D3" w:rsidRPr="002F043D" w:rsidRDefault="000B43D3" w:rsidP="002F043D">
      <w:pPr>
        <w:spacing w:line="480" w:lineRule="auto"/>
        <w:ind w:left="720" w:hanging="720"/>
        <w:rPr>
          <w:rFonts w:ascii="Times New Roman" w:hAnsi="Times New Roman" w:cs="Times New Roman"/>
          <w:sz w:val="24"/>
          <w:szCs w:val="24"/>
        </w:rPr>
      </w:pPr>
      <w:r w:rsidRPr="002F043D">
        <w:rPr>
          <w:rFonts w:ascii="Times New Roman" w:hAnsi="Times New Roman" w:cs="Times New Roman"/>
          <w:sz w:val="24"/>
          <w:szCs w:val="24"/>
        </w:rPr>
        <w:t>McFarland, M. R., &amp; Wehbe-Alamah, H. B. (2017). Theory of Culture Care Diversity and Universality. Nursing Theorists and Their Work-E-Book, 339.</w:t>
      </w:r>
    </w:p>
    <w:p w:rsidR="008E1599" w:rsidRPr="002F043D" w:rsidRDefault="000B43D3" w:rsidP="002F043D">
      <w:pPr>
        <w:spacing w:line="480" w:lineRule="auto"/>
        <w:ind w:left="720" w:hanging="720"/>
        <w:rPr>
          <w:rFonts w:ascii="Times New Roman" w:hAnsi="Times New Roman" w:cs="Times New Roman"/>
          <w:sz w:val="24"/>
          <w:szCs w:val="24"/>
        </w:rPr>
      </w:pPr>
      <w:r w:rsidRPr="002F043D">
        <w:rPr>
          <w:rFonts w:ascii="Times New Roman" w:hAnsi="Times New Roman" w:cs="Times New Roman"/>
          <w:sz w:val="24"/>
          <w:szCs w:val="24"/>
        </w:rPr>
        <w:t>Purnell, L. (2018). Education and Training in Culturally Competent Care. In Global Applications of Culturally Competent Health Care: Guidelines for Practice (pp. 61-75). Springer, Cham.</w:t>
      </w:r>
      <w:bookmarkStart w:id="0" w:name="_GoBack"/>
      <w:bookmarkEnd w:id="0"/>
    </w:p>
    <w:sectPr w:rsidR="008E1599" w:rsidRPr="002F043D" w:rsidSect="000B43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0DF" w:rsidRDefault="00D270DF" w:rsidP="00F83E04">
      <w:pPr>
        <w:spacing w:after="0" w:line="240" w:lineRule="auto"/>
      </w:pPr>
      <w:r>
        <w:separator/>
      </w:r>
    </w:p>
  </w:endnote>
  <w:endnote w:type="continuationSeparator" w:id="1">
    <w:p w:rsidR="00D270DF" w:rsidRDefault="00D270DF" w:rsidP="00F83E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0DF" w:rsidRDefault="00D270DF" w:rsidP="00F83E04">
      <w:pPr>
        <w:spacing w:after="0" w:line="240" w:lineRule="auto"/>
      </w:pPr>
      <w:r>
        <w:separator/>
      </w:r>
    </w:p>
  </w:footnote>
  <w:footnote w:type="continuationSeparator" w:id="1">
    <w:p w:rsidR="00D270DF" w:rsidRDefault="00D270DF" w:rsidP="00F83E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D3" w:rsidRPr="000B43D3" w:rsidRDefault="000B43D3">
    <w:pPr>
      <w:pStyle w:val="Header"/>
      <w:rPr>
        <w:rFonts w:ascii="Times New Roman" w:hAnsi="Times New Roman" w:cs="Times New Roman"/>
        <w:sz w:val="24"/>
        <w:szCs w:val="24"/>
      </w:rPr>
    </w:pPr>
    <w:r w:rsidRPr="000B43D3">
      <w:rPr>
        <w:rFonts w:ascii="Times New Roman" w:hAnsi="Times New Roman" w:cs="Times New Roman"/>
        <w:sz w:val="24"/>
        <w:szCs w:val="24"/>
      </w:rPr>
      <w:t xml:space="preserve">LEININGER’S CULTURAL CARE DIVERSITY AND UNIVERSALITY THEORY. </w:t>
    </w:r>
    <w:r w:rsidRPr="000B43D3">
      <w:rPr>
        <w:rFonts w:ascii="Times New Roman" w:hAnsi="Times New Roman" w:cs="Times New Roman"/>
        <w:sz w:val="24"/>
        <w:szCs w:val="24"/>
      </w:rPr>
      <w:tab/>
    </w:r>
    <w:r w:rsidRPr="000B43D3">
      <w:rPr>
        <w:rFonts w:ascii="Times New Roman" w:hAnsi="Times New Roman" w:cs="Times New Roman"/>
        <w:sz w:val="24"/>
        <w:szCs w:val="24"/>
      </w:rPr>
      <w:tab/>
    </w:r>
    <w:sdt>
      <w:sdtPr>
        <w:rPr>
          <w:rFonts w:ascii="Times New Roman" w:hAnsi="Times New Roman" w:cs="Times New Roman"/>
          <w:sz w:val="24"/>
          <w:szCs w:val="24"/>
        </w:rPr>
        <w:id w:val="1771280244"/>
        <w:docPartObj>
          <w:docPartGallery w:val="Page Numbers (Top of Page)"/>
          <w:docPartUnique/>
        </w:docPartObj>
      </w:sdtPr>
      <w:sdtEndPr>
        <w:rPr>
          <w:noProof/>
        </w:rPr>
      </w:sdtEndPr>
      <w:sdtContent>
        <w:r w:rsidR="00005D47" w:rsidRPr="000B43D3">
          <w:rPr>
            <w:rFonts w:ascii="Times New Roman" w:hAnsi="Times New Roman" w:cs="Times New Roman"/>
            <w:sz w:val="24"/>
            <w:szCs w:val="24"/>
          </w:rPr>
          <w:fldChar w:fldCharType="begin"/>
        </w:r>
        <w:r w:rsidRPr="000B43D3">
          <w:rPr>
            <w:rFonts w:ascii="Times New Roman" w:hAnsi="Times New Roman" w:cs="Times New Roman"/>
            <w:sz w:val="24"/>
            <w:szCs w:val="24"/>
          </w:rPr>
          <w:instrText xml:space="preserve"> PAGE   \* MERGEFORMAT </w:instrText>
        </w:r>
        <w:r w:rsidR="00005D47" w:rsidRPr="000B43D3">
          <w:rPr>
            <w:rFonts w:ascii="Times New Roman" w:hAnsi="Times New Roman" w:cs="Times New Roman"/>
            <w:sz w:val="24"/>
            <w:szCs w:val="24"/>
          </w:rPr>
          <w:fldChar w:fldCharType="separate"/>
        </w:r>
        <w:r w:rsidR="005B06B5">
          <w:rPr>
            <w:rFonts w:ascii="Times New Roman" w:hAnsi="Times New Roman" w:cs="Times New Roman"/>
            <w:noProof/>
            <w:sz w:val="24"/>
            <w:szCs w:val="24"/>
          </w:rPr>
          <w:t>8</w:t>
        </w:r>
        <w:r w:rsidR="00005D47" w:rsidRPr="000B43D3">
          <w:rPr>
            <w:rFonts w:ascii="Times New Roman" w:hAnsi="Times New Roman" w:cs="Times New Roman"/>
            <w:noProof/>
            <w:sz w:val="24"/>
            <w:szCs w:val="24"/>
          </w:rPr>
          <w:fldChar w:fldCharType="end"/>
        </w:r>
      </w:sdtContent>
    </w:sdt>
  </w:p>
  <w:p w:rsidR="000B43D3" w:rsidRPr="000B43D3" w:rsidRDefault="000B43D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D3" w:rsidRPr="000B43D3" w:rsidRDefault="003B7381" w:rsidP="000B43D3">
    <w:pPr>
      <w:rPr>
        <w:rFonts w:ascii="Times New Roman" w:hAnsi="Times New Roman" w:cs="Times New Roman"/>
        <w:sz w:val="24"/>
        <w:szCs w:val="24"/>
      </w:rPr>
    </w:pPr>
    <w:r>
      <w:rPr>
        <w:rFonts w:ascii="Times New Roman" w:hAnsi="Times New Roman" w:cs="Times New Roman"/>
        <w:sz w:val="24"/>
        <w:szCs w:val="24"/>
      </w:rPr>
      <w:t>Running head:</w:t>
    </w:r>
    <w:r w:rsidR="000B43D3" w:rsidRPr="000B43D3">
      <w:rPr>
        <w:rFonts w:ascii="Times New Roman" w:hAnsi="Times New Roman" w:cs="Times New Roman"/>
        <w:sz w:val="24"/>
        <w:szCs w:val="24"/>
      </w:rPr>
      <w:t xml:space="preserve"> LEININGER’S CULTURAL CARE DIVERSITY AND UNIVERSALITY THEORY. </w:t>
    </w:r>
    <w:sdt>
      <w:sdtPr>
        <w:rPr>
          <w:rFonts w:ascii="Times New Roman" w:hAnsi="Times New Roman" w:cs="Times New Roman"/>
          <w:sz w:val="24"/>
          <w:szCs w:val="24"/>
        </w:rPr>
        <w:id w:val="2077240946"/>
        <w:docPartObj>
          <w:docPartGallery w:val="Page Numbers (Top of Page)"/>
          <w:docPartUnique/>
        </w:docPartObj>
      </w:sdtPr>
      <w:sdtEndPr>
        <w:rPr>
          <w:noProof/>
        </w:rPr>
      </w:sdtEndPr>
      <w:sdtContent>
        <w:r w:rsidR="000B43D3">
          <w:rPr>
            <w:rFonts w:ascii="Times New Roman" w:hAnsi="Times New Roman" w:cs="Times New Roman"/>
            <w:sz w:val="24"/>
            <w:szCs w:val="24"/>
          </w:rPr>
          <w:tab/>
        </w:r>
        <w:r w:rsidR="000B43D3">
          <w:rPr>
            <w:rFonts w:ascii="Times New Roman" w:hAnsi="Times New Roman" w:cs="Times New Roman"/>
            <w:sz w:val="24"/>
            <w:szCs w:val="24"/>
          </w:rPr>
          <w:tab/>
        </w:r>
        <w:r w:rsidR="000B43D3">
          <w:rPr>
            <w:rFonts w:ascii="Times New Roman" w:hAnsi="Times New Roman" w:cs="Times New Roman"/>
            <w:sz w:val="24"/>
            <w:szCs w:val="24"/>
          </w:rPr>
          <w:tab/>
        </w:r>
        <w:r w:rsidR="000B43D3">
          <w:rPr>
            <w:rFonts w:ascii="Times New Roman" w:hAnsi="Times New Roman" w:cs="Times New Roman"/>
            <w:sz w:val="24"/>
            <w:szCs w:val="24"/>
          </w:rPr>
          <w:tab/>
        </w:r>
        <w:r w:rsidR="000B43D3">
          <w:rPr>
            <w:rFonts w:ascii="Times New Roman" w:hAnsi="Times New Roman" w:cs="Times New Roman"/>
            <w:sz w:val="24"/>
            <w:szCs w:val="24"/>
          </w:rPr>
          <w:tab/>
        </w:r>
        <w:r w:rsidR="000B43D3">
          <w:rPr>
            <w:rFonts w:ascii="Times New Roman" w:hAnsi="Times New Roman" w:cs="Times New Roman"/>
            <w:sz w:val="24"/>
            <w:szCs w:val="24"/>
          </w:rPr>
          <w:tab/>
        </w:r>
        <w:r w:rsidR="000B43D3">
          <w:rPr>
            <w:rFonts w:ascii="Times New Roman" w:hAnsi="Times New Roman" w:cs="Times New Roman"/>
            <w:sz w:val="24"/>
            <w:szCs w:val="24"/>
          </w:rPr>
          <w:tab/>
        </w:r>
        <w:r w:rsidR="000B43D3">
          <w:rPr>
            <w:rFonts w:ascii="Times New Roman" w:hAnsi="Times New Roman" w:cs="Times New Roman"/>
            <w:sz w:val="24"/>
            <w:szCs w:val="24"/>
          </w:rPr>
          <w:tab/>
        </w:r>
        <w:r>
          <w:rPr>
            <w:rFonts w:ascii="Times New Roman" w:hAnsi="Times New Roman" w:cs="Times New Roman"/>
            <w:sz w:val="24"/>
            <w:szCs w:val="24"/>
          </w:rPr>
          <w:t xml:space="preserve">                                             </w:t>
        </w:r>
        <w:r w:rsidR="00005D47" w:rsidRPr="000B43D3">
          <w:rPr>
            <w:rFonts w:ascii="Times New Roman" w:hAnsi="Times New Roman" w:cs="Times New Roman"/>
            <w:sz w:val="24"/>
            <w:szCs w:val="24"/>
          </w:rPr>
          <w:fldChar w:fldCharType="begin"/>
        </w:r>
        <w:r w:rsidR="000B43D3" w:rsidRPr="000B43D3">
          <w:rPr>
            <w:rFonts w:ascii="Times New Roman" w:hAnsi="Times New Roman" w:cs="Times New Roman"/>
            <w:sz w:val="24"/>
            <w:szCs w:val="24"/>
          </w:rPr>
          <w:instrText xml:space="preserve"> PAGE   \* MERGEFORMAT </w:instrText>
        </w:r>
        <w:r w:rsidR="00005D47" w:rsidRPr="000B43D3">
          <w:rPr>
            <w:rFonts w:ascii="Times New Roman" w:hAnsi="Times New Roman" w:cs="Times New Roman"/>
            <w:sz w:val="24"/>
            <w:szCs w:val="24"/>
          </w:rPr>
          <w:fldChar w:fldCharType="separate"/>
        </w:r>
        <w:r>
          <w:rPr>
            <w:rFonts w:ascii="Times New Roman" w:hAnsi="Times New Roman" w:cs="Times New Roman"/>
            <w:noProof/>
            <w:sz w:val="24"/>
            <w:szCs w:val="24"/>
          </w:rPr>
          <w:t>1</w:t>
        </w:r>
        <w:r w:rsidR="00005D47" w:rsidRPr="000B43D3">
          <w:rPr>
            <w:rFonts w:ascii="Times New Roman" w:hAnsi="Times New Roman" w:cs="Times New Roman"/>
            <w:noProof/>
            <w:sz w:val="24"/>
            <w:szCs w:val="24"/>
          </w:rPr>
          <w:fldChar w:fldCharType="end"/>
        </w:r>
      </w:sdtContent>
    </w:sdt>
  </w:p>
  <w:p w:rsidR="000B43D3" w:rsidRPr="000B43D3" w:rsidRDefault="000B43D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A5270D"/>
    <w:rsid w:val="00005D47"/>
    <w:rsid w:val="00060A04"/>
    <w:rsid w:val="000A336E"/>
    <w:rsid w:val="000B43D3"/>
    <w:rsid w:val="000B7F72"/>
    <w:rsid w:val="000C3913"/>
    <w:rsid w:val="000E0E0A"/>
    <w:rsid w:val="0013113A"/>
    <w:rsid w:val="00181C8C"/>
    <w:rsid w:val="00210CDE"/>
    <w:rsid w:val="00257AB5"/>
    <w:rsid w:val="002B2A98"/>
    <w:rsid w:val="002D3269"/>
    <w:rsid w:val="002F043D"/>
    <w:rsid w:val="0031071A"/>
    <w:rsid w:val="00311672"/>
    <w:rsid w:val="00324B0F"/>
    <w:rsid w:val="003279A1"/>
    <w:rsid w:val="00394CE3"/>
    <w:rsid w:val="003A158A"/>
    <w:rsid w:val="003A1F9D"/>
    <w:rsid w:val="003B7381"/>
    <w:rsid w:val="003D1FBE"/>
    <w:rsid w:val="003D3200"/>
    <w:rsid w:val="003D3236"/>
    <w:rsid w:val="003F6826"/>
    <w:rsid w:val="0040095D"/>
    <w:rsid w:val="00412B4A"/>
    <w:rsid w:val="00431F5A"/>
    <w:rsid w:val="00467157"/>
    <w:rsid w:val="004E49C9"/>
    <w:rsid w:val="004E7B96"/>
    <w:rsid w:val="00514119"/>
    <w:rsid w:val="00517F8C"/>
    <w:rsid w:val="005A6B95"/>
    <w:rsid w:val="005A7ABC"/>
    <w:rsid w:val="005B06B5"/>
    <w:rsid w:val="005C5106"/>
    <w:rsid w:val="005C5F6C"/>
    <w:rsid w:val="0060143F"/>
    <w:rsid w:val="0061274C"/>
    <w:rsid w:val="00662C1B"/>
    <w:rsid w:val="006641C3"/>
    <w:rsid w:val="006C7071"/>
    <w:rsid w:val="007425D0"/>
    <w:rsid w:val="0077757C"/>
    <w:rsid w:val="007A6AF0"/>
    <w:rsid w:val="007E4519"/>
    <w:rsid w:val="007F671F"/>
    <w:rsid w:val="00844965"/>
    <w:rsid w:val="00845957"/>
    <w:rsid w:val="008750E8"/>
    <w:rsid w:val="008A54C3"/>
    <w:rsid w:val="008A78AE"/>
    <w:rsid w:val="008B15CF"/>
    <w:rsid w:val="008E1599"/>
    <w:rsid w:val="009024F0"/>
    <w:rsid w:val="00961F01"/>
    <w:rsid w:val="00976B94"/>
    <w:rsid w:val="009D118E"/>
    <w:rsid w:val="009D7B81"/>
    <w:rsid w:val="009E045B"/>
    <w:rsid w:val="009E643D"/>
    <w:rsid w:val="00A24E06"/>
    <w:rsid w:val="00A352A9"/>
    <w:rsid w:val="00A5270D"/>
    <w:rsid w:val="00A66035"/>
    <w:rsid w:val="00A82D54"/>
    <w:rsid w:val="00A83F07"/>
    <w:rsid w:val="00A90791"/>
    <w:rsid w:val="00AA7ACB"/>
    <w:rsid w:val="00AA7B81"/>
    <w:rsid w:val="00AF036F"/>
    <w:rsid w:val="00AF345F"/>
    <w:rsid w:val="00AF3F89"/>
    <w:rsid w:val="00B07D98"/>
    <w:rsid w:val="00B11EDB"/>
    <w:rsid w:val="00B43E43"/>
    <w:rsid w:val="00B4577F"/>
    <w:rsid w:val="00B54FEB"/>
    <w:rsid w:val="00B55079"/>
    <w:rsid w:val="00B93EB7"/>
    <w:rsid w:val="00BC5610"/>
    <w:rsid w:val="00BE7B73"/>
    <w:rsid w:val="00C37644"/>
    <w:rsid w:val="00C85F21"/>
    <w:rsid w:val="00CC41DF"/>
    <w:rsid w:val="00CC4E2D"/>
    <w:rsid w:val="00D066D0"/>
    <w:rsid w:val="00D270DF"/>
    <w:rsid w:val="00D4388F"/>
    <w:rsid w:val="00D87DEC"/>
    <w:rsid w:val="00D95A08"/>
    <w:rsid w:val="00D970C4"/>
    <w:rsid w:val="00DA1448"/>
    <w:rsid w:val="00DE2F64"/>
    <w:rsid w:val="00DE5463"/>
    <w:rsid w:val="00E04DA6"/>
    <w:rsid w:val="00E163F9"/>
    <w:rsid w:val="00E41CA5"/>
    <w:rsid w:val="00E45F24"/>
    <w:rsid w:val="00E84CBE"/>
    <w:rsid w:val="00E93EE3"/>
    <w:rsid w:val="00EC55DB"/>
    <w:rsid w:val="00F03BCA"/>
    <w:rsid w:val="00F072FE"/>
    <w:rsid w:val="00F107E2"/>
    <w:rsid w:val="00F32EBB"/>
    <w:rsid w:val="00F53CEE"/>
    <w:rsid w:val="00F83E04"/>
    <w:rsid w:val="00FC1E29"/>
    <w:rsid w:val="00FD1C88"/>
    <w:rsid w:val="00FE7A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D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E04"/>
  </w:style>
  <w:style w:type="paragraph" w:styleId="Footer">
    <w:name w:val="footer"/>
    <w:basedOn w:val="Normal"/>
    <w:link w:val="FooterChar"/>
    <w:uiPriority w:val="99"/>
    <w:unhideWhenUsed/>
    <w:rsid w:val="00F83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E04"/>
  </w:style>
</w:styles>
</file>

<file path=word/webSettings.xml><?xml version="1.0" encoding="utf-8"?>
<w:webSettings xmlns:r="http://schemas.openxmlformats.org/officeDocument/2006/relationships" xmlns:w="http://schemas.openxmlformats.org/wordprocessingml/2006/main">
  <w:divs>
    <w:div w:id="81343459">
      <w:bodyDiv w:val="1"/>
      <w:marLeft w:val="0"/>
      <w:marRight w:val="0"/>
      <w:marTop w:val="0"/>
      <w:marBottom w:val="0"/>
      <w:divBdr>
        <w:top w:val="none" w:sz="0" w:space="0" w:color="auto"/>
        <w:left w:val="none" w:sz="0" w:space="0" w:color="auto"/>
        <w:bottom w:val="none" w:sz="0" w:space="0" w:color="auto"/>
        <w:right w:val="none" w:sz="0" w:space="0" w:color="auto"/>
      </w:divBdr>
    </w:div>
    <w:div w:id="83693191">
      <w:bodyDiv w:val="1"/>
      <w:marLeft w:val="0"/>
      <w:marRight w:val="0"/>
      <w:marTop w:val="0"/>
      <w:marBottom w:val="0"/>
      <w:divBdr>
        <w:top w:val="none" w:sz="0" w:space="0" w:color="auto"/>
        <w:left w:val="none" w:sz="0" w:space="0" w:color="auto"/>
        <w:bottom w:val="none" w:sz="0" w:space="0" w:color="auto"/>
        <w:right w:val="none" w:sz="0" w:space="0" w:color="auto"/>
      </w:divBdr>
    </w:div>
    <w:div w:id="140462359">
      <w:bodyDiv w:val="1"/>
      <w:marLeft w:val="0"/>
      <w:marRight w:val="0"/>
      <w:marTop w:val="0"/>
      <w:marBottom w:val="0"/>
      <w:divBdr>
        <w:top w:val="none" w:sz="0" w:space="0" w:color="auto"/>
        <w:left w:val="none" w:sz="0" w:space="0" w:color="auto"/>
        <w:bottom w:val="none" w:sz="0" w:space="0" w:color="auto"/>
        <w:right w:val="none" w:sz="0" w:space="0" w:color="auto"/>
      </w:divBdr>
    </w:div>
    <w:div w:id="149715313">
      <w:bodyDiv w:val="1"/>
      <w:marLeft w:val="0"/>
      <w:marRight w:val="0"/>
      <w:marTop w:val="0"/>
      <w:marBottom w:val="0"/>
      <w:divBdr>
        <w:top w:val="none" w:sz="0" w:space="0" w:color="auto"/>
        <w:left w:val="none" w:sz="0" w:space="0" w:color="auto"/>
        <w:bottom w:val="none" w:sz="0" w:space="0" w:color="auto"/>
        <w:right w:val="none" w:sz="0" w:space="0" w:color="auto"/>
      </w:divBdr>
    </w:div>
    <w:div w:id="78226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1778</Words>
  <Characters>10137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2019-06-04T21:41:00Z</dcterms:created>
  <dcterms:modified xsi:type="dcterms:W3CDTF">2019-06-04T21:41:00Z</dcterms:modified>
</cp:coreProperties>
</file>